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§2907. Application of tax in special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Application of tax in special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§2907. APPLICATION OF TAX IN SPECIAL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