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§3213. Refunds of taxes erroneously or illegally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Refunds of taxes erroneously or illegally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§3213. REFUNDS OF TAXES ERRONEOUSLY OR ILLEGALLY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