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Assessment manual</w:t>
      </w:r>
    </w:p>
    <w:p>
      <w:pPr>
        <w:jc w:val="both"/>
        <w:spacing w:before="100" w:after="100"/>
        <w:ind w:start="360"/>
        <w:ind w:firstLine="360"/>
      </w:pPr>
      <w:r>
        <w:rPr/>
      </w:r>
      <w:r>
        <w:rPr/>
      </w:r>
      <w:r>
        <w:t xml:space="preserve">The State Tax Assessor shall maintain and periodically update a state assessment manual that identifies accepted and preferred methods of assessing property.</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w:pPr>
        <w:jc w:val="both"/>
        <w:spacing w:before="100" w:after="100"/>
        <w:ind w:start="360"/>
        <w:ind w:firstLine="360"/>
      </w:pPr>
      <w:r>
        <w:rPr/>
      </w:r>
      <w:r>
        <w:rPr/>
      </w:r>
      <w:r>
        <w:t xml:space="preserve">Any municipality performing or contracting for the performance of a revaluation after January 1, 1987 shall use or require the use of the state assessment manual or another professionally accepted manual or procedure.</w:t>
      </w:r>
      <w:r>
        <w:t xml:space="preserve">  </w:t>
      </w:r>
      <w:r xmlns:wp="http://schemas.openxmlformats.org/drawingml/2010/wordprocessingDrawing" xmlns:w15="http://schemas.microsoft.com/office/word/2012/wordml">
        <w:rPr>
          <w:rFonts w:ascii="Arial" w:hAnsi="Arial" w:cs="Arial"/>
          <w:sz w:val="22"/>
          <w:szCs w:val="22"/>
        </w:rPr>
        <w:t xml:space="preserve">[PL 2023, c. 360, Pt. A,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764, §10 (NEW). PL 2023, c. 360, Pt. A,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§331. Assessment manual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Assessment manual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§331. ASSESSMENT MANUAL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