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his agent as provided in this Title, or to transmit to him the lists named within 10 days after the mailing or publication of notice or notices to them to so appear or transmit said lists, the State Tax Assessor may in his discretion report the valuation of the estates and property liable to taxation in the town so in default, as he shall deem just and equitable.</w:t>
      </w:r>
      <w:r>
        <w:t xml:space="preserve">  </w:t>
      </w:r>
      <w:r xmlns:wp="http://schemas.openxmlformats.org/drawingml/2010/wordprocessingDrawing" xmlns:w15="http://schemas.microsoft.com/office/word/2012/wordml">
        <w:rPr>
          <w:rFonts w:ascii="Arial" w:hAnsi="Arial" w:cs="Arial"/>
          <w:sz w:val="22"/>
          <w:szCs w:val="22"/>
        </w:rPr>
        <w:t xml:space="preserve">[PL 1973, c. 695,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§382. Failure of assessor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Failure of assessor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§382. FAILURE OF ASSESSOR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