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§4071. Effect of federal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§4071. Effect of federal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§4071. EFFECT OF FEDERAL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