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§4107. Tax due date; filing of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Tax due date; filing of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§4107. TAX DUE DATE; FILING OF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