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§4303-B. Exemption for wild blueberries grown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§4303-B. Exemption for wild blueberries grown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§4303-B. EXEMPTION FOR WILD BLUEBERRIES GROWN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