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§4365-F. APPLICATION OF CIGARETTE TAX RATE INCREASE EFFECTIVE SEPTEMBER 19,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