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§4366-A. CIGARETTE TAX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