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§4405. THE TAX ASSESSOR MAY ESTIMATE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