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Legislative findings and purpose</w:t>
      </w:r>
    </w:p>
    <w:p>
      <w:pPr>
        <w:jc w:val="both"/>
        <w:spacing w:before="100" w:after="100"/>
        <w:ind w:start="360"/>
        <w:ind w:firstLine="360"/>
      </w:pPr>
      <w:r>
        <w:rPr/>
      </w:r>
      <w:r>
        <w:rPr/>
      </w:r>
      <w:r>
        <w:t xml:space="preserve">The Legislature finds that the potato industry is an essential component of the economic and social welfare of the State, particularly in portions of the State which are stressed by lack of other economic opportunities. Accordingly, the Legislature finds that special efforts by State Government are warranted in order to mobilize and improve the Maine potato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w:pPr>
        <w:jc w:val="both"/>
        <w:spacing w:before="100" w:after="100"/>
        <w:ind w:start="360"/>
        <w:ind w:firstLine="360"/>
      </w:pPr>
      <w:r>
        <w:rPr/>
      </w:r>
      <w:r>
        <w:rPr/>
      </w:r>
      <w:r>
        <w:t xml:space="preserve">The Legislature also finds that the current, highly fragmented organization of the Maine potato industry inhibits the type of effective leadership which is needed if that industry is to survive.  The purpose of this chapter is to create a unified organizational structure, under the auspices of a state agency, to provide for the advancement of the Maine potato industry in the public interest and for the public good.  Under this new organizational structure, all elements of the Maine potato industry will be represented and will work together under the leadership of a unified, public board to solve the problems facing the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