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 subsection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 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