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§4923-A. Calculation of excise tax imposed on wet cannabis flower and wet cannabis trim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§4923-A. Calculation of excise tax imposed on wet cannabis flower and wet cannabis trim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§4923-A. CALCULATION OF EXCISE TAX IMPOSED ON WET CANNABIS FLOWER AND WET CANNABIS TRIM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