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§5121. Maine taxable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§5121. Maine taxable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§5121. MAINE TAXABLE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