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5180</w:t>
        <w:t xml:space="preserve">.  </w:t>
      </w:r>
      <w:r>
        <w:rPr>
          <w:b/>
        </w:rPr>
        <w:t xml:space="preserve">Taxation of limited liability companies</w:t>
      </w:r>
    </w:p>
    <w:p>
      <w:pPr>
        <w:jc w:val="both"/>
        <w:spacing w:before="100" w:after="0"/>
        <w:ind w:start="360"/>
        <w:ind w:firstLine="360"/>
      </w:pPr>
      <w:r>
        <w:rPr>
          <w:b/>
        </w:rPr>
        <w:t>1</w:t>
        <w:t xml:space="preserve">.  </w:t>
      </w:r>
      <w:r>
        <w:rPr>
          <w:b/>
        </w:rPr>
        <w:t xml:space="preserve">Classified as partnership.</w:t>
        <w:t xml:space="preserve"> </w:t>
      </w:r>
      <w:r>
        <w:t xml:space="preserve"> </w:t>
      </w:r>
      <w:r>
        <w:t xml:space="preserve">For purposes of taxation pursuant to this Part, a limited liability company formed under Title 31, former chapter 13 or </w:t>
      </w:r>
      <w:r>
        <w:t>chapter 21</w:t>
      </w:r>
      <w:r>
        <w:t xml:space="preserve"> or qualified to do business in this State as a foreign limited liability company is classified as a partnership, unless classified otherwise for federal income tax purposes, in which case the limited liability company is classified in the same manner as it is classified for federal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§9 (AMD).]</w:t>
      </w:r>
    </w:p>
    <w:p>
      <w:pPr>
        <w:jc w:val="both"/>
        <w:spacing w:before="100" w:after="0"/>
        <w:ind w:start="360"/>
        <w:ind w:firstLine="360"/>
      </w:pPr>
      <w:r>
        <w:rPr>
          <w:b/>
        </w:rPr>
        <w:t>2</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§41 (NEW). PL 2009, c. 629, Pt. A, §3 (AFF). PL 2009, c. 629, Pt. B,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§5180. Taxation of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§5180. Taxation of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§5180. TAXATION OF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