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 High-technology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 HIGH-TECHNOLOGY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