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§5320. Transferees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§5320. Transferees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§5320. TRANSFEREES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