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Assessment; continued until notice of transfer</w:t>
      </w:r>
    </w:p>
    <w:p>
      <w:pPr>
        <w:jc w:val="both"/>
        <w:spacing w:before="100" w:after="100"/>
        <w:ind w:start="360"/>
        <w:ind w:firstLine="360"/>
      </w:pPr>
      <w:r>
        <w:rPr/>
      </w:r>
      <w:r>
        <w:rPr/>
      </w:r>
      <w:r>
        <w:t xml:space="preserve">When assessors continue to assess real estate to the person to whom it was last assessed, such assessment is valid, although the ownership or occupancy has changed, unless previous written notice to the assessors has been given of such change and of the name of the person to whom it has been transferred or surrendered.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Assessment; continued until notice of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§557. ASSESSMENT; CONTINUED UNTIL NOTICE OF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