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Bank's real estate</w:t>
      </w:r>
    </w:p>
    <w:p>
      <w:pPr>
        <w:jc w:val="both"/>
        <w:spacing w:before="100" w:after="100"/>
        <w:ind w:start="360"/>
        <w:ind w:firstLine="360"/>
      </w:pPr>
      <w:r>
        <w:rPr/>
      </w:r>
      <w:r>
        <w:rPr/>
      </w:r>
      <w:r>
        <w:t xml:space="preserve">All real estate, including vaults and safe deposit plants, in the State owned by any bank incorporated by this State, or by any national bank or banking association, or by any corporation organized under the laws of this State for the purpose of doing a loan, trust or banking business and having a capital divided into shares shall be taxed in the place where that property is situated to said bank, banking association or corporation. This section does not apply to loan and building associations.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§560. Bank's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Bank's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§560. BANK'S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