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576-B</w:t>
        <w:t xml:space="preserve">.  </w:t>
      </w:r>
      <w:r>
        <w:rPr>
          <w:b/>
        </w:rPr>
        <w:t xml:space="preserve">Discount factor and capitalization rate</w:t>
      </w:r>
    </w:p>
    <w:p>
      <w:pPr>
        <w:jc w:val="both"/>
        <w:spacing w:before="100" w:after="100"/>
        <w:ind w:start="360"/>
        <w:ind w:firstLine="360"/>
      </w:pPr>
      <w:r>
        <w:rPr/>
      </w:r>
      <w:r>
        <w:rPr/>
      </w:r>
      <w:r>
        <w:t xml:space="preserve">The percentage factor by which the growth rates set by the State Tax Assessor pursuant to </w:t>
      </w:r>
      <w:r>
        <w:t>section 576</w:t>
      </w:r>
      <w:r>
        <w:t xml:space="preserve"> must be reduced to reflect the growth that can be extracted on a sustained basis is 10%.  The capitalization rate applied to the value of the annual net wood production pursuant to </w:t>
      </w:r>
      <w:r>
        <w:t>section 576</w:t>
      </w:r>
      <w:r>
        <w:t xml:space="preserve"> is 8.5%.</w:t>
      </w:r>
      <w:r>
        <w:t xml:space="preserve">  </w:t>
      </w:r>
      <w:r xmlns:wp="http://schemas.openxmlformats.org/drawingml/2010/wordprocessingDrawing" xmlns:w15="http://schemas.microsoft.com/office/word/2012/wordml">
        <w:rPr>
          <w:rFonts w:ascii="Arial" w:hAnsi="Arial" w:cs="Arial"/>
          <w:sz w:val="22"/>
          <w:szCs w:val="22"/>
        </w:rPr>
        <w:t xml:space="preserve">[PL 1997, c. 504,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549, §5 (NEW). PL 1977, c. 590 (AMD). PL 1977, c. 694, §§680-685 (AMD). PL 1981, c. 517, §§8,9 (AMD). PL 1981, c. 636 (AMD). PL 1981, c. 706, §§5,6 (AMD). PL 1983, c. 571, §1 (AMD). PL 1985, c. 779, §80 (AMD). PL 1997, c. 504,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§576-B. Discount factor and capitalization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§576-B. Discount factor and capitalization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§576-B. DISCOUNT FACTOR AND CAPITALIZATION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