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581-B</w:t>
        <w:t xml:space="preserve">.  </w:t>
      </w:r>
      <w:r>
        <w:rPr>
          <w:b/>
        </w:rPr>
        <w:t xml:space="preserve">Reclassification and withdrawal in unorganized territory</w:t>
      </w:r>
    </w:p>
    <w:p>
      <w:pPr>
        <w:jc w:val="both"/>
        <w:spacing w:before="100" w:after="100"/>
        <w:ind w:start="360"/>
        <w:ind w:firstLine="360"/>
      </w:pPr>
      <w:r>
        <w:rPr/>
      </w:r>
      <w:r>
        <w:rPr/>
      </w:r>
      <w:r>
        <w:t xml:space="preserve">If forest land in the unorganized territory is reclassified or withdrawn from taxation under this subchapter, the State Tax Assessor shall make  supplementary assessments or abatements as  necessary to carry out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627,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308, §13 (NEW). PL 2007, c. 627,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§581-B. Reclassification and withdrawal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§581-B. RECLASSIFICATION AND WITHDRAWAL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