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the State of Maine, shall be taxed as other personal property in the town in which it is used for the first time in this State.</w:t>
      </w:r>
    </w:p>
    <w:p>
      <w:pPr>
        <w:jc w:val="both"/>
        <w:spacing w:before="100" w:after="100"/>
        <w:ind w:start="360"/>
        <w:ind w:firstLine="360"/>
      </w:pPr>
      <w:r>
        <w:rPr/>
      </w:r>
      <w:r>
        <w:rPr/>
      </w:r>
      <w:r>
        <w:t xml:space="preserve">When the assessors are informed by the owner or otherwise of the presence within the town of such personal property, the assessors shall give notice in writing to the owner to furnish to the assessors a true and perfect list of such property within 15 days from the receipt of such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367, §3 (AMD).]</w:t>
      </w:r>
    </w:p>
    <w:p>
      <w:pPr>
        <w:jc w:val="both"/>
        <w:spacing w:before="100" w:after="100"/>
        <w:ind w:start="360"/>
        <w:ind w:firstLine="360"/>
      </w:pPr>
      <w:r>
        <w:rPr/>
      </w:r>
      <w:r>
        <w:rPr/>
      </w:r>
      <w:r>
        <w:t xml:space="preserve">The assessors shall assess a tax upon any such property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1987, c. 772, §13 (AMD).]</w:t>
      </w:r>
    </w:p>
    <w:p>
      <w:pPr>
        <w:jc w:val="both"/>
        <w:spacing w:before="100" w:after="100"/>
        <w:ind w:start="360"/>
        <w:ind w:firstLine="360"/>
      </w:pPr>
      <w:r>
        <w:rPr/>
      </w:r>
      <w:r>
        <w:rPr/>
      </w:r>
      <w:r>
        <w:t xml:space="preserve">Except as otherwise provided in this section, the collection of such taxes shall be in accordance with this chapter.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 Equipment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Equipment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 EQUIPMENT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