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6201-A</w:t>
        <w:t xml:space="preserve">.  </w:t>
      </w:r>
      <w:r>
        <w:rPr>
          <w:b/>
        </w:rPr>
        <w:t xml:space="preserve">Short title</w:t>
      </w:r>
    </w:p>
    <w:p>
      <w:pPr>
        <w:jc w:val="both"/>
        <w:spacing w:before="100" w:after="100"/>
        <w:ind w:start="360"/>
        <w:ind w:firstLine="360"/>
      </w:pPr>
      <w:r>
        <w:rPr/>
      </w:r>
      <w:r>
        <w:rPr/>
      </w:r>
      <w:r>
        <w:t xml:space="preserve">This chapter may be known and may be cited as the "Maine Residents Property Tax Program" and may be referred to as "the Circuitbreaker Program."</w:t>
      </w:r>
      <w:r>
        <w:t xml:space="preserve">  </w:t>
      </w:r>
      <w:r xmlns:wp="http://schemas.openxmlformats.org/drawingml/2010/wordprocessingDrawing" xmlns:w15="http://schemas.microsoft.com/office/word/2012/wordml">
        <w:rPr>
          <w:rFonts w:ascii="Arial" w:hAnsi="Arial" w:cs="Arial"/>
          <w:sz w:val="22"/>
          <w:szCs w:val="22"/>
        </w:rPr>
        <w:t xml:space="preserve">[PL 2005, c. 618, §18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534, §A4 (NEW). PL 2005, c. 618, §18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§6201-A.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§6201-A.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