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6210</w:t>
        <w:t xml:space="preserve">.  </w:t>
      </w:r>
      <w:r>
        <w:rPr>
          <w:b/>
        </w:rPr>
        <w:t xml:space="preserve">Administration</w:t>
      </w:r>
    </w:p>
    <w:p>
      <w:pPr>
        <w:jc w:val="both"/>
        <w:spacing w:before="100" w:after="100"/>
        <w:ind w:start="360"/>
        <w:ind w:firstLine="360"/>
      </w:pPr>
      <w:r>
        <w:rPr/>
      </w:r>
      <w:r>
        <w:rPr/>
      </w:r>
      <w:r>
        <w:t xml:space="preserve">The State Tax Assessor shall make available suitable forms with instructions for claimants. The claim must be in the form prescribed by the assessor and must be signed by the claimant.</w:t>
      </w:r>
      <w:r>
        <w:t xml:space="preserve">  </w:t>
      </w:r>
      <w:r xmlns:wp="http://schemas.openxmlformats.org/drawingml/2010/wordprocessingDrawing" xmlns:w15="http://schemas.microsoft.com/office/word/2012/wordml">
        <w:rPr>
          <w:rFonts w:ascii="Arial" w:hAnsi="Arial" w:cs="Arial"/>
          <w:sz w:val="22"/>
          <w:szCs w:val="22"/>
        </w:rPr>
        <w:t xml:space="preserve">[PL 2005, c. 218, §59 (AMD).]</w:t>
      </w:r>
    </w:p>
    <w:p>
      <w:pPr>
        <w:jc w:val="both"/>
        <w:spacing w:before="100" w:after="100"/>
        <w:ind w:start="360"/>
        <w:ind w:firstLine="360"/>
      </w:pPr>
      <w:r>
        <w:rPr/>
      </w:r>
      <w:r>
        <w:rPr/>
      </w:r>
      <w:r>
        <w:t xml:space="preserve">The assessor shall include a checkoff to request an application for the Maine Residents Property Tax Program on the individual income tax form.  The assessor shall also provide a paperless option for filing an application for the Maine Residents Property Tax Program.</w:t>
      </w:r>
      <w:r>
        <w:t xml:space="preserve">  </w:t>
      </w:r>
      <w:r xmlns:wp="http://schemas.openxmlformats.org/drawingml/2010/wordprocessingDrawing" xmlns:w15="http://schemas.microsoft.com/office/word/2012/wordml">
        <w:rPr>
          <w:rFonts w:ascii="Arial" w:hAnsi="Arial" w:cs="Arial"/>
          <w:sz w:val="22"/>
          <w:szCs w:val="22"/>
        </w:rPr>
        <w:t xml:space="preserve">[PL 2005, c. 218,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1997, c. 557, §A4 (AMD). PL 1997, c. 557, §G1 (AFF). PL 2005, c. 218,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§6210.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§6210.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§6210.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