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6655</w:t>
        <w:t xml:space="preserve">.  </w:t>
      </w:r>
      <w:r>
        <w:rPr>
          <w:b/>
        </w:rPr>
        <w:t xml:space="preserve">Forms</w:t>
      </w:r>
    </w:p>
    <w:p>
      <w:pPr>
        <w:jc w:val="both"/>
        <w:spacing w:before="100" w:after="100"/>
        <w:ind w:start="360"/>
        <w:ind w:firstLine="360"/>
      </w:pPr>
      <w:r>
        <w:rPr/>
      </w:r>
      <w:r>
        <w:rPr/>
      </w:r>
      <w:r>
        <w:t xml:space="preserve">The State Tax Assessor shall prescribe forms for the notice of claim and statement of the assessor or assessors provided in </w:t>
      </w:r>
      <w:r>
        <w:t>section 6653</w:t>
      </w:r>
      <w:r>
        <w:t xml:space="preserve"> and the claim for reimbursement, with instructions, and make those forms available to taxpayers and taxing jurisdictions.  The forms must include a checkoff to indicate if the applicant is also receiving tax increment financing.</w:t>
      </w:r>
      <w:r>
        <w:t xml:space="preserve">  </w:t>
      </w:r>
      <w:r xmlns:wp="http://schemas.openxmlformats.org/drawingml/2010/wordprocessingDrawing" xmlns:w15="http://schemas.microsoft.com/office/word/2012/wordml">
        <w:rPr>
          <w:rFonts w:ascii="Arial" w:hAnsi="Arial" w:cs="Arial"/>
          <w:sz w:val="22"/>
          <w:szCs w:val="22"/>
        </w:rPr>
        <w:t xml:space="preserve">[PL 2005, c. 12, Pt. BBB,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2005, c. 12, §BBB3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§6655.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§6655.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§6655.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