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§6661. Certain leased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Certain leased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§6661. CERTAIN LEASED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