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§6853. CREDIT AGAINST WITHHOLDING TAXES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