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6856</w:t>
        <w:t xml:space="preserve">.  </w:t>
      </w:r>
      <w:r>
        <w:rPr>
          <w:b/>
        </w:rPr>
        <w:t xml:space="preserve">Accelerated credit</w:t>
      </w:r>
    </w:p>
    <w:p>
      <w:pPr>
        <w:jc w:val="both"/>
        <w:spacing w:before="100" w:after="100"/>
        <w:ind w:start="360"/>
        <w:ind w:firstLine="360"/>
      </w:pPr>
      <w:r>
        <w:rPr/>
      </w:r>
      <w:r>
        <w:rPr/>
      </w:r>
      <w:r>
        <w:t xml:space="preserve">Beginning July 1, 1999, if a certified applicant has employment in any calendar year of at least 5,500, the credit authorized in </w:t>
      </w:r>
      <w:r>
        <w:t>section 6853</w:t>
      </w:r>
      <w:r>
        <w:t xml:space="preserve"> must be increased to $3,125,000.  If employment is at least 6,000, the credit must be increased to $3,250,000.  If employment is at least 6,500, the credit must be increased to $3,375,000.  If employment is 7,000 or more, the credit must be increased to $3,500,000.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§6856. Accelerated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§6856. Accelerated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§6856. ACCELERATED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