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Effect of determination of residence</w:t>
      </w:r>
    </w:p>
    <w:p>
      <w:pPr>
        <w:jc w:val="both"/>
        <w:spacing w:before="100" w:after="100"/>
        <w:ind w:start="360"/>
        <w:ind w:firstLine="360"/>
      </w:pPr>
      <w:r>
        <w:rPr/>
      </w:r>
      <w:r>
        <w:rPr/>
      </w:r>
      <w:r>
        <w:t xml:space="preserve">A determination of permanent residence made for purposes of this subchapter is not binding on the bureau with respect to the administration of </w:t>
      </w:r>
      <w:r>
        <w:t>Part 8</w:t>
      </w:r>
      <w:r>
        <w:t xml:space="preserve"> and has no effect on determination of domicile for purposes of the Maine individual income tax.</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§688. Effect of determination of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Effect of determination of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§688. EFFECT OF DETERMINATION OF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