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696</w:t>
        <w:t xml:space="preserve">.  </w:t>
      </w:r>
      <w:r>
        <w:rPr>
          <w:b/>
        </w:rPr>
        <w:t xml:space="preserve">Supplemental assessment</w:t>
      </w:r>
    </w:p>
    <w:p>
      <w:pPr>
        <w:jc w:val="both"/>
        <w:spacing w:before="100" w:after="100"/>
        <w:ind w:start="360"/>
        <w:ind w:firstLine="360"/>
      </w:pPr>
      <w:r>
        <w:rPr/>
      </w:r>
      <w:r>
        <w:rPr/>
      </w:r>
      <w:r>
        <w:t xml:space="preserve">If the assessor makes a determination under </w:t>
      </w:r>
      <w:r>
        <w:t>section 695</w:t>
      </w:r>
      <w:r>
        <w:t xml:space="preserve"> or the bureau makes a determination pursuant to </w:t>
      </w:r>
      <w:r>
        <w:t>section 697</w:t>
      </w:r>
      <w:r>
        <w:t xml:space="preserve"> that property receiving an exemption under this subchapter was not entitled to an exemption under this subchapter, the assessor shall by means of a supplemental assessment assess the property for which the exemption was improperly received, plus costs and interest. The taxpayer may contest a supplemental assessment under this subchapter either by using the procedures provided in </w:t>
      </w:r>
      <w:r>
        <w:t>subchapter 8</w:t>
      </w:r>
      <w:r>
        <w:t xml:space="preserve"> or by pursuing such other actions or proceedings by which other property tax exemptions under this chapter may be reviewed or adjudicated.  The supplemental assessment must be assessed and collected pursuant to </w:t>
      </w:r>
      <w:r>
        <w:t>section 713</w:t>
      </w:r>
      <w:r>
        <w:t xml:space="preserve">.  The bureau shall deduct the amount of the portion of the supplemental assessment that pertains to any funds previously reimbursed to the municipality under </w:t>
      </w:r>
      <w:r>
        <w:t>section 694</w:t>
      </w:r>
      <w:r>
        <w:t xml:space="preserve"> from the next reimbursement issued to the municipality.</w:t>
      </w:r>
      <w:r>
        <w:t xml:space="preserve">  </w:t>
      </w:r>
      <w:r xmlns:wp="http://schemas.openxmlformats.org/drawingml/2010/wordprocessingDrawing" xmlns:w15="http://schemas.microsoft.com/office/word/2012/wordml">
        <w:rPr>
          <w:rFonts w:ascii="Arial" w:hAnsi="Arial" w:cs="Arial"/>
          <w:sz w:val="22"/>
          <w:szCs w:val="22"/>
        </w:rPr>
        <w:t xml:space="preserve">[PL 2017, c. 211,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623, §1 (NEW). PL 2017, c. 211, Pt. A,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§696. Supplemental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§696. Supplemental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§696. SUPPLEMENTAL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