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§700-A. Additional municipal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§700-A. Additional municipal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§700-A. ADDITIONAL MUNICIPAL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