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7124</w:t>
        <w:t xml:space="preserve">.  </w:t>
      </w:r>
      <w:r>
        <w:rPr>
          <w:b/>
        </w:rPr>
        <w:t xml:space="preserve">Authority to enter agreement</w:t>
      </w:r>
    </w:p>
    <w:p>
      <w:pPr>
        <w:jc w:val="both"/>
        <w:spacing w:before="100" w:after="100"/>
        <w:ind w:start="360"/>
        <w:ind w:firstLine="360"/>
      </w:pPr>
      <w:r>
        <w:rPr/>
      </w:r>
      <w:r>
        <w:rPr/>
      </w:r>
      <w:r>
        <w:t xml:space="preserve">The State Tax Assessor shall enter into the agreement on behalf of this State, subject to the provisions of </w:t>
      </w:r>
      <w:r>
        <w:t>section 7126</w:t>
      </w:r>
      <w:r>
        <w:t xml:space="preserve">.  The assessor is authorized to act jointly with other states that are members of the agreement to establish standards for certification of a certified service provider and certified automated system and to establish performance standards for multistate sellers.  The assessor may take other actions reasonably required to implement the provisions of this chapter.  Other actions authorized by this section include, but are not limited to, the adoption of rules and the joint procurement, with other member states, of goods and services in furtherance of the agreement.  Rules adopted pursuant to this section are routine technical rules as defined in </w:t>
      </w:r>
      <w:r>
        <w:t>Title 5, chapter 375, subchapter II‑A</w:t>
      </w:r>
      <w:r>
        <w:t xml:space="preserve">.  The assessor or the assessor's designee may represent this State before the other states that are signatories to the agreement.</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§7124. Authority to enter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§7124. Authority to enter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§7124. AUTHORITY TO ENTER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