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w:t>
        <w:t xml:space="preserve">.  </w:t>
      </w:r>
      <w:r>
        <w:rPr>
          <w:b/>
        </w:rPr>
        <w:t xml:space="preserve">Payments to former collector in dispute; procedure</w:t>
      </w:r>
    </w:p>
    <w:p>
      <w:pPr>
        <w:jc w:val="both"/>
        <w:spacing w:before="100" w:after="100"/>
        <w:ind w:start="360"/>
        <w:ind w:firstLine="360"/>
      </w:pPr>
      <w:r>
        <w:rPr/>
      </w:r>
      <w:r>
        <w:rPr/>
      </w:r>
      <w:r>
        <w:t xml:space="preserve">When the tax of any person named in said tax lists does not thereby appear to have been paid, but such person declares that it was paid to the former tax collector, the new tax collector shall not distrain or commit him without a vote of the municipal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 Payments to former collector in dispute;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§900. PAYMENTS TO FORMER COLLECTOR IN DISPUTE;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