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the Department of Professional and Financial Regulation, Bureau of Consumer Credit Protection regarding options for finding an advisor who can help the person work with the municipality to avoid tax lien foreclosure and provide information regarding ways to contact the bureau.  The Department of Professional and Financial Regulation, Bureau of Consumer Credit Protection, by July 15th annually, shall provide to a statewide organization representing municipalities information regarding assistance in avoiding tax lien foreclosure to assist municipalities in providing the information required in the notice.</w:t>
      </w:r>
      <w:r>
        <w:t xml:space="preserve">  </w:t>
      </w:r>
      <w:r xmlns:wp="http://schemas.openxmlformats.org/drawingml/2010/wordprocessingDrawing" xmlns:w15="http://schemas.microsoft.com/office/word/2012/wordml">
        <w:rPr>
          <w:rFonts w:ascii="Arial" w:hAnsi="Arial" w:cs="Arial"/>
          <w:sz w:val="22"/>
          <w:szCs w:val="22"/>
        </w:rPr>
        <w:t xml:space="preserve">[PL 2017, c. 478, §2 (NEW).]</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§942. Tax lien certificate;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Tax lien certificate;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§942. TAX LIEN CERTIFICATE;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