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NAVAL MILITIA</w:t>
      </w:r>
    </w:p>
    <w:p>
      <w:pPr>
        <w:jc w:val="center"/>
        <w:ind w:start="360"/>
        <w:spacing w:before="300" w:after="300"/>
      </w:pPr>
      <w:r>
        <w:rPr>
          <w:b/>
        </w:rPr>
        <w:t>(REPEALED)</w:t>
      </w:r>
    </w:p>
    <w:p>
      <w:pPr>
        <w:jc w:val="both"/>
        <w:spacing w:before="100" w:after="100"/>
        <w:ind w:start="1080" w:hanging="720"/>
      </w:pPr>
      <w:r>
        <w:rPr>
          <w:b/>
        </w:rPr>
        <w:t>§</w:t>
        <w:t>311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§203 (RPR). PL 1983, c. 460, §2 (RP). </w:t>
      </w:r>
    </w:p>
    <w:p>
      <w:pPr>
        <w:jc w:val="both"/>
        <w:spacing w:before="100" w:after="100"/>
        <w:ind w:start="1080" w:hanging="720"/>
      </w:pPr>
      <w:r>
        <w:rPr>
          <w:b/>
        </w:rPr>
        <w:t>§</w:t>
        <w:t>314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NAVAL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NAVAL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13. NAVAL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