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Rights of labor unaffected</w:t>
      </w:r>
    </w:p>
    <w:p>
      <w:pPr>
        <w:jc w:val="both"/>
        <w:spacing w:before="100" w:after="100"/>
        <w:ind w:start="360"/>
        <w:ind w:firstLine="360"/>
      </w:pPr>
      <w:r>
        <w:rPr/>
      </w:r>
      <w:r>
        <w:rPr/>
      </w:r>
      <w:r>
        <w:t xml:space="preserve">Nothing in this chapter may be construed to impair, curtail or destroy the lawful rights of employees and their representatives to self-organization, to form, join or assist labor organizations, to bargain collectively through representatives of their own choosing, to strike, to picket and to engage in concerted activities for the purpose of collective bargaining or other mutual aid or protection.</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§1003. Rights of labor unaffected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Rights of labor unaffected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§1003. RIGHTS OF LABOR UNAFFECTED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