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Intentional injury or interference with property</w:t>
      </w:r>
    </w:p>
    <w:p>
      <w:pPr>
        <w:jc w:val="both"/>
        <w:spacing w:before="100" w:after="100"/>
        <w:ind w:start="360"/>
        <w:ind w:firstLine="360"/>
      </w:pPr>
      <w:r>
        <w:rPr/>
      </w:r>
      <w:r>
        <w:rPr/>
      </w:r>
      <w:r>
        <w:t xml:space="preserve">Whoever intentionally destroys, impairs, injures, interferes or tampers with real or personal property with reasonable grounds to believe that that person's act will hinder, delay or interfere  with the preparation of the United States or of any of the states for defense or for war, or with the prosecution of war by the United States, or with preparations and plans for emergency management, or with the execution of those preparations and plans under </w:t>
      </w:r>
      <w:r>
        <w:t>chapter 13</w:t>
      </w:r>
      <w:r>
        <w:t xml:space="preserve"> commits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614,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797, §18 (AMD). PL 2001, c. 614,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§1005. Intentional injury or interference with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Intentional injury or interference with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§1005. INTENTIONAL INJURY OR INTERFERENCE WITH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