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Relief of obligation</w:t>
      </w:r>
    </w:p>
    <w:p>
      <w:pPr>
        <w:jc w:val="both"/>
        <w:spacing w:before="100" w:after="100"/>
        <w:ind w:start="360"/>
        <w:ind w:firstLine="360"/>
      </w:pPr>
      <w:r>
        <w:rPr/>
      </w:r>
      <w:r>
        <w:rPr/>
      </w:r>
      <w:r>
        <w:t xml:space="preserve">This chapter may not be construed as relieving a person of duties, responsibilities or liabilities imposed by any other law, regulation, municipal ordinance or rule of law, including, but not limited to, the need to obtain permits or other approvals required to authorize repairs or other remedial measures at a dam and the need to comply with the terms and conditions of any outstanding water level or dam release order, except in an emergency situation as defined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§1125. Relief of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Relief of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§1125. RELIEF OF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