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353-C</w:t>
        <w:t xml:space="preserve">.  </w:t>
      </w:r>
      <w:r>
        <w:rPr>
          <w:b/>
        </w:rPr>
        <w:t xml:space="preserve">Waiver required</w:t>
      </w:r>
    </w:p>
    <w:p>
      <w:pPr>
        <w:jc w:val="both"/>
        <w:spacing w:before="100" w:after="100"/>
        <w:ind w:start="360"/>
        <w:ind w:firstLine="360"/>
      </w:pPr>
      <w:r>
        <w:rPr/>
      </w:r>
      <w:r>
        <w:rPr/>
      </w:r>
      <w:r>
        <w:t xml:space="preserve">If the cost of providing the tuition benefit under this subchapter exceeds the amount of money available in the Maine National Guard Postsecondary Fund established in </w:t>
      </w:r>
      <w:r>
        <w:t>section 353‑A</w:t>
      </w:r>
      <w:r>
        <w:t xml:space="preserve">, the tuition benefit must be provided in the form of a tuition waiver provided by the state postsecondary education institution.</w:t>
      </w:r>
      <w:r>
        <w:t xml:space="preserve">  </w:t>
      </w:r>
      <w:r xmlns:wp="http://schemas.openxmlformats.org/drawingml/2010/wordprocessingDrawing" xmlns:w15="http://schemas.microsoft.com/office/word/2012/wordml">
        <w:rPr>
          <w:rFonts w:ascii="Arial" w:hAnsi="Arial" w:cs="Arial"/>
          <w:sz w:val="22"/>
          <w:szCs w:val="22"/>
        </w:rPr>
        <w:t xml:space="preserve">[PL 2015, c. 465,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§353-C. Waiver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§353-C. Waiver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§353-C. WAIVER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