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 Operating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Operating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§462. OPERATING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