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Director of Maine Bureau of Veterans'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Director of Maine Bureau of Veterans'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§502. DIRECTOR OF MAINE BUREAU OF VETERANS'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