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Right-of-way; violation</w:t>
      </w:r>
    </w:p>
    <w:p>
      <w:pPr>
        <w:jc w:val="both"/>
        <w:spacing w:before="100" w:after="100"/>
        <w:ind w:start="360"/>
        <w:ind w:firstLine="360"/>
      </w:pPr>
      <w:r>
        <w:rPr/>
      </w:r>
      <w:r>
        <w:rPr/>
      </w:r>
      <w:r>
        <w:t xml:space="preserve">Personnel and equipment required to respond to emergency calls under this chapter shall have the right-of-way over all public ways and roads and the Governor is granted the right to close or restrict traffic on all roads in any area.  Whoever fails to give the right-of-way to personnel, vehicles and equipment required to respond to emergency calls under this chapter, or whoever enters upon roads which have been closed to traffic under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§828. Right-of-way;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Right-of-way;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§828. RIGHT-OF-WAY;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