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Supplementary agreements--Article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§927. SUPPLEMENTARY AGREEMENTS--ARTICLE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