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w:t>
        <w:t xml:space="preserve">.  </w:t>
      </w:r>
      <w:r>
        <w:rPr>
          <w:b/>
        </w:rPr>
        <w:t xml:space="preserve">Evacuation--Article X</w:t>
      </w:r>
    </w:p>
    <w:p>
      <w:pPr>
        <w:jc w:val="both"/>
        <w:spacing w:before="100" w:after="100"/>
        <w:ind w:start="360"/>
        <w:ind w:firstLine="360"/>
      </w:pPr>
      <w:r>
        <w:rPr/>
      </w:r>
      <w:r>
        <w:rPr/>
      </w:r>
      <w:r>
        <w:t xml:space="preserve">Plans for the orderly evacuation and interstate reception of portions of the civilian population as the result of any emergency or disaster of sufficient proportions to so warrant must be prepared and maintained between the party states and the emergency management or emergency services directors of the various jurisdictions where any type of incident requiring evacuations might occur.  These plans must be put into effect by request of the state from which evacuees come and must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the forwarding of such evacuees to other areas or the bringing in of additional materials, supplies and all other relevant factors.  The plans must provide that the party state receiving evacuees and the party state from which the evacuees come must mutually agree as to reimbursement of out-of-pocket expenses incurred in receiving and caring for such evacuees, for expenditures for transportation, food, clothing, medicines and medical care and like items.  Such expenditures must be reimbursed as agreed by the party state from which the evacuees come.  After the termination of the emergency or disaster, the party state from which the evacuees come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 Evacuation--Article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 Evacuation--Article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§930. EVACUATION--ARTICLE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