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949-D</w:t>
        <w:t xml:space="preserve">.  </w:t>
      </w:r>
      <w:r>
        <w:rPr>
          <w:b/>
        </w:rPr>
        <w:t xml:space="preserve">Volunteer health practitioner registration systems</w:t>
      </w:r>
    </w:p>
    <w:p>
      <w:pPr>
        <w:jc w:val="both"/>
        <w:spacing w:before="100" w:after="100"/>
        <w:ind w:start="360"/>
        <w:ind w:firstLine="360"/>
      </w:pPr>
      <w:r>
        <w:rPr>
          <w:b/>
        </w:rPr>
        <w:t>1</w:t>
        <w:t xml:space="preserve">.  </w:t>
      </w:r>
      <w:r>
        <w:rPr>
          <w:b/>
        </w:rPr>
        <w:t xml:space="preserve">Registration system requirements.</w:t>
        <w:t xml:space="preserve"> </w:t>
      </w:r>
      <w:r>
        <w:t xml:space="preserve"> </w:t>
      </w:r>
      <w:r>
        <w:t xml:space="preserve">To qualify as a volunteer health practitioner registration system, a system must:</w:t>
      </w:r>
    </w:p>
    <w:p>
      <w:pPr>
        <w:jc w:val="both"/>
        <w:spacing w:before="100" w:after="0"/>
        <w:ind w:start="720"/>
      </w:pPr>
      <w:r>
        <w:rPr/>
        <w:t>A</w:t>
        <w:t xml:space="preserve">.  </w:t>
      </w:r>
      <w:r>
        <w:rPr/>
      </w:r>
      <w:r>
        <w:t xml:space="preserve">Accept applications for the registration of volunteer health practitioners before or during an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Include information about the licensure and good standing of health practitioners that is accessible by authorized persons;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Be capable of confirming the accuracy of information concerning whether a health practitioner is licensed and in good standing before health services or veterinary services are provided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Meet one of the following conditions:</w:t>
      </w:r>
    </w:p>
    <w:p>
      <w:pPr>
        <w:jc w:val="both"/>
        <w:spacing w:before="100" w:after="0"/>
        <w:ind w:start="1080"/>
      </w:pPr>
      <w:r>
        <w:rPr/>
        <w:t>(</w:t>
        <w:t>1</w:t>
        <w:t xml:space="preserve">)  </w:t>
      </w:r>
      <w:r>
        <w:rPr/>
      </w:r>
      <w:r>
        <w:t xml:space="preserve">Be an emergency system for advance registration of volunteer health care professionals established by a state and funded through the federal Department of Health and Human Services under </w:t>
      </w:r>
      <w:r>
        <w:t>Section 319I</w:t>
      </w:r>
      <w:r>
        <w:t xml:space="preserve"> of the federal Public Health Service Act, 42 United States Code, </w:t>
      </w:r>
      <w:r>
        <w:t>Section 247d‑7b</w:t>
      </w:r>
      <w:r>
        <w:t xml:space="preserve"> (2017);</w:t>
      </w:r>
    </w:p>
    <w:p>
      <w:pPr>
        <w:jc w:val="both"/>
        <w:spacing w:before="100" w:after="0"/>
        <w:ind w:start="1080"/>
      </w:pPr>
      <w:r>
        <w:rPr/>
        <w:t>(</w:t>
        <w:t>2</w:t>
        <w:t xml:space="preserve">)  </w:t>
      </w:r>
      <w:r>
        <w:rPr/>
      </w:r>
      <w:r>
        <w:t xml:space="preserve">Be a local unit consisting of trained and equipped emergency response, public health and medical personnel formed pursuant to </w:t>
      </w:r>
      <w:r>
        <w:t>Section 2801</w:t>
      </w:r>
      <w:r>
        <w:t xml:space="preserve"> of the federal Public Health Service Act, 42 United States Code, Section 300hh (2017);</w:t>
      </w:r>
    </w:p>
    <w:p>
      <w:pPr>
        <w:jc w:val="both"/>
        <w:spacing w:before="100" w:after="0"/>
        <w:ind w:start="1080"/>
      </w:pPr>
      <w:r>
        <w:rPr/>
        <w:t>(</w:t>
        <w:t>3</w:t>
        <w:t xml:space="preserve">)  </w:t>
      </w:r>
      <w:r>
        <w:rPr/>
      </w:r>
      <w:r>
        <w:t xml:space="preserve">Be operated by a:</w:t>
      </w:r>
    </w:p>
    <w:p>
      <w:pPr>
        <w:jc w:val="both"/>
        <w:spacing w:before="100" w:after="0"/>
        <w:ind w:start="1440"/>
      </w:pPr>
      <w:r>
        <w:rPr/>
        <w:t>(</w:t>
        <w:t>a</w:t>
        <w:t xml:space="preserve">)  </w:t>
      </w:r>
      <w:r>
        <w:rPr/>
      </w:r>
      <w:r>
        <w:t xml:space="preserve">Disaster relief organization;</w:t>
      </w:r>
    </w:p>
    <w:p>
      <w:pPr>
        <w:jc w:val="both"/>
        <w:spacing w:before="100" w:after="0"/>
        <w:ind w:start="1440"/>
      </w:pPr>
      <w:r>
        <w:rPr/>
        <w:t>(</w:t>
        <w:t>b</w:t>
        <w:t xml:space="preserve">)  </w:t>
      </w:r>
      <w:r>
        <w:rPr/>
      </w:r>
      <w:r>
        <w:t xml:space="preserve">Licensing board;</w:t>
      </w:r>
    </w:p>
    <w:p>
      <w:pPr>
        <w:jc w:val="both"/>
        <w:spacing w:before="100" w:after="0"/>
        <w:ind w:start="1440"/>
      </w:pPr>
      <w:r>
        <w:rPr/>
        <w:t>(</w:t>
        <w:t>c</w:t>
        <w:t xml:space="preserve">)  </w:t>
      </w:r>
      <w:r>
        <w:rPr/>
      </w:r>
      <w:r>
        <w:t xml:space="preserve">National or regional association of licensing boards or health practitioners;</w:t>
      </w:r>
    </w:p>
    <w:p>
      <w:pPr>
        <w:jc w:val="both"/>
        <w:spacing w:before="100" w:after="0"/>
        <w:ind w:start="1440"/>
      </w:pPr>
      <w:r>
        <w:rPr/>
        <w:t>(</w:t>
        <w:t>d</w:t>
        <w:t xml:space="preserve">)  </w:t>
      </w:r>
      <w:r>
        <w:rPr/>
      </w:r>
      <w:r>
        <w:t xml:space="preserve">Health facility that provides comprehensive inpatient and outpatient health care services, including a tertiary care hospital; or</w:t>
      </w:r>
    </w:p>
    <w:p>
      <w:pPr>
        <w:jc w:val="both"/>
        <w:spacing w:before="100" w:after="0"/>
        <w:ind w:start="1440"/>
      </w:pPr>
      <w:r>
        <w:rPr/>
        <w:t>(</w:t>
        <w:t>e</w:t>
        <w:t xml:space="preserve">)  </w:t>
      </w:r>
      <w:r>
        <w:rPr/>
      </w:r>
      <w:r>
        <w:t xml:space="preserve">Governmental entity; or</w:t>
      </w:r>
    </w:p>
    <w:p>
      <w:pPr>
        <w:jc w:val="both"/>
        <w:spacing w:before="100" w:after="0"/>
        <w:ind w:start="1080"/>
      </w:pPr>
      <w:r>
        <w:rPr/>
        <w:t>(</w:t>
        <w:t>4</w:t>
        <w:t xml:space="preserve">)  </w:t>
      </w:r>
      <w:r>
        <w:rPr/>
      </w:r>
      <w:r>
        <w:t xml:space="preserve">Be designated by the Department of Health and Human Services, in coordination with the Maine Emergency Management Agency, as a registration system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Confirmation of registration.</w:t>
        <w:t xml:space="preserve"> </w:t>
      </w:r>
      <w:r>
        <w:t xml:space="preserve"> </w:t>
      </w:r>
      <w:r>
        <w:t xml:space="preserve">While an emergency declaration is in effect, the Department of Health and Human Services or the Maine Emergency Management Agency, a person authorized to act on behalf of the Department of Health and Human Services or the Maine Emergency Management Agency or a host entity may confirm whether volunteer health practitioners utilized in this State are registered with a registration system that complies with </w:t>
      </w:r>
      <w:r>
        <w:t>subsection 1</w:t>
      </w:r>
      <w:r>
        <w:t xml:space="preserve">.  Confirmation is limited to obtaining identities of the practitioners from the system and determining whether the system indicates that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Notification by registration system.</w:t>
        <w:t xml:space="preserve"> </w:t>
      </w:r>
      <w:r>
        <w:t xml:space="preserve"> </w:t>
      </w:r>
      <w:r>
        <w:t xml:space="preserve">Upon request of a person in this State authorized under </w:t>
      </w:r>
      <w:r>
        <w:t>subsection 2</w:t>
      </w:r>
      <w:r>
        <w:t xml:space="preserve">, or a similarly authorized person in another state, a registration system located in this State shall notify the person of the identities of volunteer health practitioners and whether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Host entity discretion in selecting volunteers.</w:t>
        <w:t xml:space="preserve"> </w:t>
      </w:r>
      <w:r>
        <w:t xml:space="preserve"> </w:t>
      </w:r>
      <w:r>
        <w:t xml:space="preserve">A host entity is not required to use the services of a volunteer health practitioner even if the practitioner is registered with a registration system that indicates that the practitioner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§949-D. Volunteer health practitioner registration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§949-D. Volunteer health practitioner registration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§949-D. VOLUNTEER HEALTH PRACTITIONER REGISTRATION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