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949-E</w:t>
        <w:t xml:space="preserve">.  </w:t>
      </w:r>
      <w:r>
        <w:rPr>
          <w:b/>
        </w:rPr>
        <w:t xml:space="preserve">Recognition of volunteer health practitioners licensed in other states</w:t>
      </w:r>
    </w:p>
    <w:p>
      <w:pPr>
        <w:jc w:val="both"/>
        <w:spacing w:before="100" w:after="0"/>
        <w:ind w:start="360"/>
        <w:ind w:firstLine="360"/>
      </w:pPr>
      <w:r>
        <w:rPr>
          <w:b/>
        </w:rPr>
        <w:t>1</w:t>
        <w:t xml:space="preserve">.  </w:t>
      </w:r>
      <w:r>
        <w:rPr>
          <w:b/>
        </w:rPr>
        <w:t xml:space="preserve">Authority to practice during emergency.</w:t>
        <w:t xml:space="preserve"> </w:t>
      </w:r>
      <w:r>
        <w:t xml:space="preserve"> </w:t>
      </w:r>
      <w:r>
        <w:t xml:space="preserve">While an emergency declaration is in effect, a volunteer health practitioner registered with a registration system that complies with </w:t>
      </w:r>
      <w:r>
        <w:t>section 949‑D</w:t>
      </w:r>
      <w:r>
        <w:t xml:space="preserve"> and licensed and in good standing in the state upon which the practitioner's registration is based may practice in this State to the extent authorized by this chapter as if the practitioner were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Disqualification based on professional discipline.</w:t>
        <w:t xml:space="preserve"> </w:t>
      </w:r>
      <w:r>
        <w:t xml:space="preserve"> </w:t>
      </w:r>
      <w:r>
        <w:t xml:space="preserve">A volunteer health practitioner qualified under </w:t>
      </w:r>
      <w:r>
        <w:t>subsection 1</w:t>
      </w:r>
      <w:r>
        <w:t xml:space="preserve">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§949-E. Recognition of volunteer health practitioners licensed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§949-E. Recognition of volunteer health practitioners licensed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§949-E. RECOGNITION OF VOLUNTEER HEALTH PRACTITIONERS LICENSED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