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PROTECTION OF MAINE LAKES</w:t>
      </w:r>
    </w:p>
    <w:p>
      <w:pPr>
        <w:jc w:val="both"/>
        <w:spacing w:before="100" w:after="100"/>
        <w:ind w:start="1080" w:hanging="720"/>
      </w:pPr>
      <w:r>
        <w:rPr>
          <w:b/>
        </w:rPr>
        <w:t>§</w:t>
        <w:t>1841</w:t>
        <w:t xml:space="preserve">.  </w:t>
      </w:r>
      <w:r>
        <w:rPr>
          <w:b/>
        </w:rPr>
        <w:t xml:space="preserve">Declaration of policy</w:t>
      </w:r>
    </w:p>
    <w:p>
      <w:pPr>
        <w:jc w:val="both"/>
        <w:spacing w:before="100" w:after="100"/>
        <w:ind w:start="360"/>
        <w:ind w:firstLine="360"/>
      </w:pPr>
      <w:r>
        <w:rPr/>
      </w:r>
      <w:r>
        <w:rPr/>
      </w:r>
      <w:r>
        <w:t xml:space="preserve">Maine's great ponds are an important element of the State's economy and traditional way of life.  Their abundance and relatively high water quality are precious resources in light of the growing inadequacy of water supplies and the deterioration of natural settings and habitat in many other states.  The use of great ponds as a source for drinking water, recreation and power production is vital to the State.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To protect the public trust, the State's great ponds must be protected from degradation.  They must be managed according to watershed boundaries, while a diversity of lake setting types within each region of the State is maintained.  Potable water from the State's great ponds should require minimal treatment.</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A primary goal of the protection of the State's great ponds is to ensure that consistent land use management policies and regulations are applied throughout the direct watershed of each great pond.</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The State's goals in managing the surface uses of great ponds are to avoid or minimize conflicts among recreational users, energy producers, shoreland owners and other users; maintain traditional water-dependent businesses; and ensure that the intensity of use allowed on a great pond is in keeping with its capacity to accommodate that use.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w:t>
      </w:r>
    </w:p>
    <w:p>
      <w:pPr>
        <w:jc w:val="both"/>
        <w:spacing w:before="100" w:after="100"/>
        <w:ind w:start="1080" w:hanging="720"/>
      </w:pPr>
      <w:r>
        <w:rPr>
          <w:b/>
        </w:rPr>
        <w:t>§</w:t>
        <w:t>1842</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§149 (COR). PL 1991, c. 838, §26 (NEW). PL 1993, c. 226, §C2 (AMD). MRSA T. 38 §1842, sub-§4 (RP). </w:t>
      </w:r>
    </w:p>
    <w:p>
      <w:pPr>
        <w:jc w:val="both"/>
        <w:spacing w:before="100" w:after="100"/>
        <w:ind w:start="1080" w:hanging="720"/>
      </w:pPr>
      <w:r>
        <w:rPr>
          <w:b/>
        </w:rPr>
        <w:t>§</w:t>
        <w:t>1842-A</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§5 (NEW). MRSA T. 38 §1842A, sub-§5 (RP). </w:t>
      </w:r>
    </w:p>
    <w:p>
      <w:pPr>
        <w:jc w:val="both"/>
        <w:spacing w:before="100" w:after="100"/>
        <w:ind w:start="1080" w:hanging="720"/>
      </w:pPr>
      <w:r>
        <w:rPr>
          <w:b/>
        </w:rPr>
        <w:t>§</w:t>
        <w:t>1843</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PL 1993, c. 226, §C3 (AMD). MRSA T. 38 §1843, sub-§4 (RP). </w:t>
      </w:r>
    </w:p>
    <w:p>
      <w:pPr>
        <w:jc w:val="both"/>
        <w:spacing w:before="100" w:after="100"/>
        <w:ind w:start="1080" w:hanging="720"/>
      </w:pPr>
      <w:r>
        <w:rPr>
          <w:b/>
        </w:rPr>
        <w:t>§</w:t>
        <w:t>1843-A</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§6 (NEW). MRSA T. 38 §1843A,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 PROTECTION OF MAINE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PROTECTION OF MAINE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 PROTECTION OF MAINE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