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First meeting of commission</w:t>
      </w:r>
    </w:p>
    <w:p>
      <w:pPr>
        <w:jc w:val="both"/>
        <w:spacing w:before="100" w:after="100"/>
        <w:ind w:start="360"/>
        <w:ind w:firstLine="360"/>
      </w:pPr>
      <w:r>
        <w:rPr/>
      </w:r>
      <w:r>
        <w:rPr/>
      </w:r>
      <w:r>
        <w:t xml:space="preserve">The first meeting of the commission must be called by the Governor of the State and must be held in Calais, Maine.  The Premier of the Province of New Brunswick has agreed, in the Memorandum of Understanding, to designate a person to serve as the temporary chair of the commission at its first meeting until the commission nominates from among its members and approves by consensus cochairs.</w:t>
      </w:r>
      <w:r>
        <w:t xml:space="preserve">  </w:t>
      </w:r>
      <w:r xmlns:wp="http://schemas.openxmlformats.org/drawingml/2010/wordprocessingDrawing" xmlns:w15="http://schemas.microsoft.com/office/word/2012/wordml">
        <w:rPr>
          <w:rFonts w:ascii="Arial" w:hAnsi="Arial" w:cs="Arial"/>
          <w:sz w:val="22"/>
          <w:szCs w:val="22"/>
        </w:rPr>
        <w:t xml:space="preserve">[RR 2021, c. 2, Pt. B, §266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RR 2021, c. 2, Pt. B, §266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 First meeting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First meeting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§1000. FIRST MEETING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