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Commission and working committee members, invitees and observers</w:t>
      </w:r>
    </w:p>
    <w:p>
      <w:pPr>
        <w:jc w:val="both"/>
        <w:spacing w:before="100" w:after="100"/>
        <w:ind w:start="360"/>
        <w:ind w:firstLine="360"/>
      </w:pPr>
      <w:r>
        <w:rPr/>
      </w:r>
      <w:r>
        <w:rPr/>
      </w:r>
      <w:r>
        <w:t xml:space="preserve">Members of the commission and its various working committees may include, without limitation, representatives of federal, state and local governmental entities, state and local conservation groups, local commerce and industry, private citizens and landowners in the waterway area, local fish and wildlife groups and representatives of any other groups with legitimate interests in the management of the waterway.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 Commission and working committee members, invitees and observers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Commission and working committee members, invitees and observers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§1001. COMMISSION AND WORKING COMMITTEE MEMBERS, INVITEES AND OBSERVERS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