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w:t>
        <w:t xml:space="preserve">.  </w:t>
      </w:r>
      <w:r>
        <w:rPr>
          <w:b/>
        </w:rPr>
        <w:t xml:space="preserve">Recording of documents; compensation to officers</w:t>
      </w:r>
    </w:p>
    <w:p>
      <w:pPr>
        <w:jc w:val="both"/>
        <w:spacing w:before="100" w:after="100"/>
        <w:ind w:start="360"/>
        <w:ind w:firstLine="360"/>
      </w:pPr>
      <w:r>
        <w:rPr/>
      </w:r>
      <w:r>
        <w:rPr/>
      </w:r>
      <w:r>
        <w:t xml:space="preserve">The application provided for in </w:t>
      </w:r>
      <w:r>
        <w:t>section 1022</w:t>
      </w:r>
      <w:r>
        <w:t xml:space="preserve">, with the notice and proceedings thereon and the license granted, must be recorded in the town and a copy provided to the Commissioner of Marine Resources by the applicant. Reasonable compensation must be paid by the applicant to the municipal officers for their services and expenses and to the clerk for recording, and if license is granted, $5 additional must be paid by the applicant to the town.</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731, §5 (AMD). PL 1989, c. 890, §§A40,B210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§1025. Recording of documents; compensation to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 Recording of documents; compensation to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§1025. RECORDING OF DOCUMENTS; COMPENSATION TO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